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800"/>
        <w:gridCol w:w="2640"/>
        <w:gridCol w:w="600"/>
        <w:gridCol w:w="2520"/>
        <w:gridCol w:w="2520"/>
        <w:gridCol w:w="3420"/>
        <w:gridCol w:w="720"/>
        <w:gridCol w:w="680"/>
        <w:gridCol w:w="40"/>
        <w:gridCol w:w="1080"/>
        <w:gridCol w:w="40"/>
        <w:gridCol w:w="40"/>
      </w:tblGrid>
      <w:tr w:rsidR="00D61D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1D4C" w:rsidRDefault="00D61D4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b/>
                <w:sz w:val="16"/>
              </w:rPr>
              <w:t>OPĆINA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9554AA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9554AA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sz w:val="16"/>
              </w:rPr>
              <w:t>GORIČKA 18/a , 10299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sz w:val="16"/>
              </w:rPr>
              <w:t>10299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sz w:val="16"/>
              </w:rPr>
              <w:t>OIB: 48658001244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jc w:val="center"/>
            </w:pPr>
            <w:r>
              <w:rPr>
                <w:b/>
                <w:sz w:val="24"/>
              </w:rPr>
              <w:t>Projekcija proračuna</w:t>
            </w: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D61D4C" w:rsidRDefault="00FA47E4">
            <w:pPr>
              <w:pStyle w:val="DefaultStyle"/>
              <w:jc w:val="center"/>
            </w:pPr>
            <w:r>
              <w:rPr>
                <w:b/>
              </w:rPr>
              <w:t>POSEBNI DIO</w:t>
            </w: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40" w:type="dxa"/>
              <w:right w:w="0" w:type="dxa"/>
            </w:tcMar>
          </w:tcPr>
          <w:p w:rsidR="00D61D4C" w:rsidRDefault="00D61D4C">
            <w:pPr>
              <w:pStyle w:val="DefaultStyle"/>
              <w:jc w:val="center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50505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50505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glava"/>
                  </w:pPr>
                  <w:r>
                    <w:rPr>
                      <w:sz w:val="16"/>
                    </w:rPr>
                    <w:t>UKUPNO RASHODI / IZDACI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12.094.016,40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15.629.050,00</w:t>
                  </w:r>
                </w:p>
              </w:tc>
              <w:tc>
                <w:tcPr>
                  <w:tcW w:w="13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10.229.560,00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129,23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65,45</w:t>
                  </w:r>
                </w:p>
              </w:tc>
              <w:tc>
                <w:tcPr>
                  <w:tcW w:w="700" w:type="dxa"/>
                  <w:shd w:val="clear" w:color="auto" w:fill="50505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glava"/>
                    <w:jc w:val="right"/>
                  </w:pPr>
                  <w:r>
                    <w:rPr>
                      <w:sz w:val="16"/>
                    </w:rPr>
                    <w:t>84,58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1"/>
                  </w:pPr>
                  <w:r>
                    <w:rPr>
                      <w:sz w:val="16"/>
                    </w:rPr>
                    <w:t>Razdjel 001 PREDSTAVNIČKA I IZVRŠNA TIJELA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785.600,00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721.600,00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749.600,00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91,85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103,88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95,42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2"/>
                  </w:pPr>
                  <w:r>
                    <w:rPr>
                      <w:sz w:val="16"/>
                    </w:rPr>
                    <w:t>Glava 00101 PREDSTAVNIČKA I IZVRŠNA TIJELA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785.600,00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721.600,00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749.600,00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91,85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103,88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95,42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0100 OPĆINSKO VIJEĆE I NAČELNIK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408.000,00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424.000,00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446.000,00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103,92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105,19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109,31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A100001 Rashodi za zaposlene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196.000,00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202.000,00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108,89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103,06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112,22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196.000,00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202.000,00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108,89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103,06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112,22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108,89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103,06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112,22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108,89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103,06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112,22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A100002 Materijalni rashodi i rashodi za usluge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208.000,00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208.000,00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224.000,00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107,69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107,69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208.000,00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208.000,00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224.000,00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107,69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107,69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107,69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107,69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107,69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107,69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A100003 Proračunska pričuva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0200 FINANCIRANJE OSTALIH AKTIVNOSTI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122.000,00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122.000,00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128.000,00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104,92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104,92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A100001 Općinske manifestacije, obljetnice, godišnjice i dr.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68.000,00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68.000,00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74.000,00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108,82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108,82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115,79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115,79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115,79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115,79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115,79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115,79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5.1. Tekuće pomoći od županije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A100002 Prigodni programi i pokloni za djecu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1D4C" w:rsidRDefault="00D61D4C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b/>
                <w:sz w:val="16"/>
              </w:rPr>
              <w:t>OPĆINA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9554AA">
            <w:pPr>
              <w:pStyle w:val="Default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A100004 Političke stranke zastupljene u Općinskom vijeću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0300 MJESNI ODBORI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255.600,00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175.600,00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175.600,00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68,70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68,70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A100001 Redovna djelatnost Mjesnih odbora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175.600,00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175.600,00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175.600,00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153.500,00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153.500,00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153.500,00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153.500,00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153.500,00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22.100,00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A100002 Izbori za članove vijeća Mjesnih odbora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8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8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1"/>
                  </w:pPr>
                  <w:r>
                    <w:rPr>
                      <w:sz w:val="16"/>
                    </w:rPr>
                    <w:t>Razdjel 002 JEDINSTVENI UPRAVNI ODJEL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11.308.416,40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14.907.450,00</w:t>
                  </w:r>
                </w:p>
              </w:tc>
              <w:tc>
                <w:tcPr>
                  <w:tcW w:w="13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9.479.960,00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131,83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63,59</w:t>
                  </w:r>
                </w:p>
              </w:tc>
              <w:tc>
                <w:tcPr>
                  <w:tcW w:w="700" w:type="dxa"/>
                  <w:shd w:val="clear" w:color="auto" w:fill="00008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rgp1"/>
                    <w:jc w:val="right"/>
                  </w:pPr>
                  <w:r>
                    <w:rPr>
                      <w:sz w:val="16"/>
                    </w:rPr>
                    <w:t>83,83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2"/>
                  </w:pPr>
                  <w:r>
                    <w:rPr>
                      <w:sz w:val="16"/>
                    </w:rPr>
                    <w:t>Glava 00201 JEDINSTVENI UPRAVNI ODJEL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11.308.416,40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14.907.450,00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9.479.960,00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131,83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63,59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rgp2"/>
                    <w:jc w:val="right"/>
                  </w:pPr>
                  <w:r>
                    <w:rPr>
                      <w:sz w:val="16"/>
                    </w:rPr>
                    <w:t>83,83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0100 FINANCIRANJE REDOVNE DJELATNOSTI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1.741.166,40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1.629.700,00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1.721.710,00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93,60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105,65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98,88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A100001 Rashodi za zaposlene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610.466,40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559.000,00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559.000,00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91,57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91,57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493.500,00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499.000,00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499.000,00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101,11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101,11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101,11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101,11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468.000,00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101,19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101,19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1.6. Ostali prihodi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56.966,40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56.966,40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53.330,64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3.635,76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1D4C" w:rsidRDefault="00D61D4C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b/>
                <w:sz w:val="16"/>
              </w:rPr>
              <w:t>OPĆINA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4.7. Ostali prihodi za posebne namjene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A100002 Materijalni rashodi i rashodi za usluge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744.200,00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712.200,00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776.210,00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95,70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108,99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104,30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686.500,00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654.500,00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719.000,00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95,34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109,85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104,73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686.500,00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654.500,00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719.000,00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95,34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109,85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104,73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95,63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110,48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105,65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86,96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78,26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1.2. Prihodi od financijske imovine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23.500,00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23.500,00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23.010,00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97,91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97,91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23.010,00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97,91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97,91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18.010,00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76,64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76,64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14.200,00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14.200,00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14.200,00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14.200,00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1.4. Prihodi od administrativnih (upravnih) pristojbi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 xml:space="preserve">Aktivnost A100004 Otplata zajma-Energet.obnova Društ.doma Kraj Gornji,zgrade Općine i nabavu traktora s 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315.000,00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96,83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98,36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95,24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315.000,00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96,83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98,36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95,24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71,43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71,43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57,14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Izdaci za financijsku imovinu i otplate zajmova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54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Izdaci za otplatu glavnice primljenih kredita i zajmova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K100001 Nabava uredske opreme, namještaja, uređaja i ostale opreme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41.500,00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33.500,00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46.500,00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80,72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138,81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112,05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41.500,00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33.500,00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46.500,00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80,72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138,81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112,05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46.500,00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80,72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138,81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112,05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140,62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112,50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K100002 Projektna dokumentacija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1D4C" w:rsidRDefault="00D61D4C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b/>
                <w:sz w:val="16"/>
              </w:rPr>
              <w:t>OPĆINA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dodatna ulaganja na nefinancijskoj imovini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0100 ZAŠTITA OD POŽARA I SPAŠAVANJE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173.000,00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173.000,00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183.000,00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105,78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105,78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A100001 Tekuće donacije Vatrogasnoj zajednici Općine Marija Gorica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106,25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106,25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106,25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106,25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106,25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106,25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106,25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A100002 Civilna zaštita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A100004 Ispitivanje sigurnosti instalacija (atesti)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0100 TEKUĆE DONACIJE SPORTU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109,09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A100003 Tekuće donacije u sportu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109,09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109,09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109,09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109,09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0100 KULTURNO I TURISTIČKO PROMICANJE OPĆINE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75.000,00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A100001 Tekuće donacije u kulturi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A100004 Turistička zajednica "Doline i brigi"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0100 FINANCIRANJE UDRUGA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48.000,00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104,17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104,17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A100003 Tekuće donacije udrugama u poljoprivredi i lovu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1D4C" w:rsidRDefault="00D61D4C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b/>
                <w:sz w:val="16"/>
              </w:rPr>
              <w:t>OPĆINA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9554AA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9554AA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A100005 Financiranje humanitarnih i ostalih udruga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28.000,00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0100 PREDŠKOLSKO OBRAZOVANJE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510.000,00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510.000,00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510.000,00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A100001 Dječji vrtić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495.000,00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495.000,00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495.000,00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495.000,00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495.000,00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495.000,00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495.000,00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495.000,00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495.000,00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A100002 Program predškole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0200 OSNOVNO, SREDNJE I VISOKO OBRAZOVANJE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443.000,00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448.000,00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443.000,00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101,13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98,88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A100001 Produženi boravak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A100002 Prehrana učenika u školskoj kuhinji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A100003 Škola u prirodi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A100004 Sufinaciranje cijene prijevoza učenika i studenata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A100005 Ostale tekuće donacije OŠ Ante Kovačića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1D4C" w:rsidRDefault="00D61D4C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b/>
                <w:sz w:val="16"/>
              </w:rPr>
              <w:t>OPĆINA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A61D55">
            <w:pPr>
              <w:pStyle w:val="Default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A61D55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A100006 "Ljeto u Mariji Gorici"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A100007 Standardizacija odijevanja učenika OŠ Ante Kovačića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A100008 Nabava setova za likovni odgoj za prvašiće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A100009 Sufinanciranje nabave školskih udžbenika 1-8 razred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112,50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88,89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112,50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88,89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112,50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88,89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112,50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88,89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0100 SOCIJALNA SKRB I POTREBE U ZDRAVSTVU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252.750,00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202.750,00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202.750,00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80,22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80,22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A100001 Socijalna skrb - stanovanje (režije i dr.oblici pomoći)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A100002 Socijalna skrb - ostale potrebe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A100003 Financiranje javnog prijevoza osobama starijim od 65 godina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1D4C" w:rsidRDefault="00D61D4C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b/>
                <w:sz w:val="16"/>
              </w:rPr>
              <w:t>OPĆINA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A61D55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A61D55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A100004 Centar za rehabilitaciju, Radionica Zaprešić-prijevoz korisnika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A100005 Oprema za novorođenčad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A100006 Pomoć za ogrjev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14.250,00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14.250,00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14.250,00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5.1. Tekuće pomoći od županije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14.250,00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14.250,00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14.250,00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14.250,00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14.250,00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14.250,00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14.250,00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14.250,00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14.250,00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A100007 Financiranje poštanske naknade po uplatnicama građana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A100008 Tim Hitne medicinske pomoći ZZJZ Zg županije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A100009 Vijeće za prevenciju kriminaliteta na područ.Općine M.Gorica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A100010 Crveni križ Zaprešić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A100011 Akcija Dobrovoljnog darivanja krvi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4.500,00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4.500,00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4.500,00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4.500,00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4.500,00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4.500,00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7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1D4C" w:rsidRDefault="00D61D4C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b/>
                <w:sz w:val="16"/>
              </w:rPr>
              <w:t>OPĆINA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A61D55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A61D55">
            <w:pPr>
              <w:pStyle w:val="Default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A100012 Financijska pomoć u obavljanju javnog prijevoza Meštrović prijevoz d.o.o.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37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0100 SUBVENCIJE U POLJOPRIVREDI I GOSPODARSTVU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28.000,00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93,33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93,33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A100001 Subvencioniranje umjetnog osjemenjivanja krava plotkinja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A100002 Subvencije malom gospodarstvu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A100003 Subvencije poljoprivrednicima (usjevi, nasadi, premije i dr.)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35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Subvencije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130,00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0100 ODRŽAVANJE KOMUNALNE INFRASTRUKTURE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558.000,00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553.000,00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575.000,00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99,10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103,98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103,05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A100001 Potrošnja javne rasvjete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310.000,00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33,33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4.1. Prihodi od komunalne naknade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107,14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A100002 Održavanje elemenata javne rasvjete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85,71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116,67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4.2. Prihodi od komunalnog doprinosa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85,71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116,67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85,71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A100003 Makadamske ceste - održavanje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4.2. Prihodi od komunalnog doprinosa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8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1D4C" w:rsidRDefault="00D61D4C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b/>
                <w:sz w:val="16"/>
              </w:rPr>
              <w:t>OPĆINA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BA7591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BA7591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4.7. Ostali prihodi za posebne namjene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A100005 Zimska služba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A100006 Održavanje groblja i tekuće održavanje mrtvačnica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69.000,00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69.000,00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69.000,00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4.5. Prihodi od grobne naknade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69.000,00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69.000,00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69.000,00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A100007 Održavanje javnih površina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122,22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122,22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122,22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122,22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122,22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122,22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122,22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122,22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A100008 Prometna signalizacija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66,67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0100 SUSTAV ODVODNJE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1.180.000,00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1.633.000,00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236,00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138,39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326,60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K100001 Izgradnja sustava odvodnje (građ.radovi)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1.180.000,00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1.633.000,00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236,00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138,39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326,60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 xml:space="preserve">Izvor 4.3. Naknada za razvoj 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4.7. Ostali prihodi za posebne namjene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63.000,00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5.2. Kapitalne pomoći od županije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9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1D4C" w:rsidRDefault="00D61D4C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b/>
                <w:sz w:val="16"/>
              </w:rPr>
              <w:t>OPĆINA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BA7591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5.3. Kapitalne pomoći od države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166,67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5.5. Pomoći od subjekata unutar opće države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116,67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0200 NERAZVRSTANE CESTE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1.385.000,00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640.000,00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585.000,00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46,21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91,41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42,24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A100001 Evidentiranje nerazvrstanih cesta u zemljišnim knjigama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K100001 Asfaltiranje nerazvrstanih cesta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420.000,00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640.000,00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585.000,00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152,38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91,41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139,29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4.2. Prihodi od komunalnog doprinosa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97,92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97,92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97,92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5.2. Kapitalne pomoći od županije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5.3. Kapitalne pomoći od države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K100002 Pješačke staze na području Općine Marija Gorica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830.000,00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1.6. Ostali prihodi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5.2. Kapitalne pomoći od županije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10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1D4C" w:rsidRDefault="00D61D4C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b/>
                <w:sz w:val="16"/>
              </w:rPr>
              <w:t>OPĆINA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BA7591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5.3. Kapitalne pomoći od države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K100003 Obilaznica u Mariji Gorici - projekti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0400 VODOVOD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517.500,00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120,35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K100001 Izgradnja, dogradnja i rekonstrukcija vodovodne mreže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430.000,00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517.500,00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120,35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217.500,00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217.500,00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217.500,00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4.7. Ostali prihodi za posebne namjene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5.2. Kapitalne pomoći od županije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5.3. Kapitalne pomoći od države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38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Ostali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0100 PROSTORNO PLANIRANJE I UREĐENJE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2.541.000,00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2.316.000,00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91,15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K100001 Gorički trg u Mariji Gorici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2.516.000,00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2.316.000,00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92,05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5.2. Kapitalne pomoći od županije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5.4. Pomoći od inozemnih vlada ( Europske unije )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2.316.000,00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2.316.000,00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2.316.000,00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2.316.000,00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2.316.000,00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2.316.000,00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11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1D4C" w:rsidRDefault="00D61D4C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b/>
                <w:sz w:val="16"/>
              </w:rPr>
              <w:t>OPĆINA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K100003 Izrada Izvješća o stanju u prostoru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0200 ODRŽIVO GOSPODARENJE OTPADOM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67.000,00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A100001 Nabava spremnika za odvojeno prikupljanje otpada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67.000,00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67.000,00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36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Pomoći dane u inozemstvo i unutar općeg proračuna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67.000,00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0100 GOSPODARSKA ZONA KRAJ DONJI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K100002 Komunalna infrastruktura Gospodarske zone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 xml:space="preserve">Izvor 4.3. Naknada za razvoj 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 xml:space="preserve">Program 0100 IZGRADNJA GROBLJA, PARKIRALIŠTA I UREĐ.OKOLIŠA GROBLJA 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397.000,00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K100001 Izgradnja grobnih mjesta na groblju Marija Gorica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262.000,00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4.2. Prihodi od komunalnog doprinosa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4.5. Prihodi od grobne naknade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4.7. Ostali prihodi za posebne namjene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 xml:space="preserve">Kapitalni projekt K100002 Izgradnja parkirališta i uređenje okoliša groblja Marija Gorica 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12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1D4C" w:rsidRDefault="00D61D4C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b/>
                <w:sz w:val="16"/>
              </w:rPr>
              <w:t>OPĆINA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4.2. Prihodi od komunalnog doprinosa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0200 SPOMENICI KULTURE I SAKRALNI OBJEKTI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536.000,00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878.000,00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757.000,00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163,81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86,22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141,23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K100001 Kompleks rodne kuće Ante Kovačića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536.000,00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878.000,00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757.000,00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163,81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86,22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141,23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230,00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86,96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86,96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230,00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86,96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1.3. Prihodi od nefinancijske imovine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36.000,00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1.6. Ostali prihodi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 xml:space="preserve">Izvor 4.3. Naknada za razvoj 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4.5. Prihodi od grobne naknade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41.000,00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4.7. Ostali prihodi za posebne namjene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71.000,00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5.2. Kapitalne pomoći od županije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5.3. Kapitalne pomoći od države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75,00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0300 OSTALI GRAĐEVINSKI OBJEKTI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1.253.000,00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5.380.000,00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2.369.000,00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429,37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44,03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189,07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K100006 Sanjkalište u Mariji Gorici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2.790.000,00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1.200.000,00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1.395,00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43,01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13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1D4C" w:rsidRDefault="00D61D4C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b/>
                <w:sz w:val="16"/>
              </w:rPr>
              <w:t>OPĆINA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222,22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222,22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222,22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5.2. Kapitalne pomoći od županije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300.000,00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5.3. Kapitalne pomoći od države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71,43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71,43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71,43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5.4. Pomoći od inozemnih vlada ( Europske unije )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K100007 Sportsko rekreacijski centar Kraj Donji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190.000,00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2.590.000,00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1.169.000,00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1.363,16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45,14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615,26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169.000,00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187,78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338,00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169.000,00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187,78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338,00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169.000,00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187,78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1.6. Ostali prihodi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5.2. Kapitalne pomoći od županije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5.3. Kapitalne pomoći od države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5.4. Pomoći od inozemnih vlada ( Europske unije )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1.000.000,00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14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1D4C" w:rsidRDefault="00D61D4C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b/>
                <w:sz w:val="16"/>
              </w:rPr>
              <w:t>OPĆINA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BA7591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 w:rsidP="00BA7591">
            <w:pPr>
              <w:pStyle w:val="DefaultStyle"/>
              <w:jc w:val="center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K100008 Dječje igralište u Kraju Donjem (2-12 godina)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463.000,00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5.4. Pomoći od inozemnih vlada ( Europske unije )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423.000,00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423.000,00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423.000,00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K100009 Otkup zemljišta za kapitalne projekte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1.6. Ostali prihodi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400.000,00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3"/>
                  </w:pPr>
                  <w:r>
                    <w:rPr>
                      <w:sz w:val="16"/>
                    </w:rPr>
                    <w:t>Proračunski korisnik 49840 OPĆINSKA KNJIŽNICA ANTE KOVAČIĆA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198.500,00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214.500,00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227.500,00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108,06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106,06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rgp3"/>
                    <w:jc w:val="right"/>
                  </w:pPr>
                  <w:r>
                    <w:rPr>
                      <w:sz w:val="16"/>
                    </w:rPr>
                    <w:t>114,61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A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A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</w:pPr>
                  <w:r>
                    <w:rPr>
                      <w:sz w:val="16"/>
                    </w:rPr>
                    <w:t>Program 0200 OPĆINSKA KNJIŽNICA ANTE KOVAČIĆA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198.500,00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214.500,00</w:t>
                  </w:r>
                </w:p>
              </w:tc>
              <w:tc>
                <w:tcPr>
                  <w:tcW w:w="13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227.500,00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108,06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106,06</w:t>
                  </w:r>
                </w:p>
              </w:tc>
              <w:tc>
                <w:tcPr>
                  <w:tcW w:w="700" w:type="dxa"/>
                  <w:shd w:val="clear" w:color="auto" w:fill="0000A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2"/>
                    <w:jc w:val="right"/>
                  </w:pPr>
                  <w:r>
                    <w:rPr>
                      <w:sz w:val="16"/>
                    </w:rPr>
                    <w:t>114,61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A100001 Rashodi za zaposlene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116.500,00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129.000,00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133.500,00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110,73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103,49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114,59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116.500,00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129.000,00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133.500,00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110,73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103,49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114,59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116.500,00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133.500,00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110,73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103,49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114,59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zaposlene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107.500,00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124.500,00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111,63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103,75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115,81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Aktivnost A100002 Materijalni rashodi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54.000,00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59.000,00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67.000,00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109,26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113,56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124,07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52.000,00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63.000,00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105,77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114,55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121,15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63.000,00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105,77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114,55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121,15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53.000,00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60.500,00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106,00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114,15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121,00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Financijski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3.9 Vlastiti prihodi -PK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poslovanja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32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Materijalni rashodi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4.000,00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K100003 Knjige za knjižnicu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17.000,00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20.000,00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88,24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133,33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117,65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3.9 Vlastiti prihodi -PK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15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D61D4C" w:rsidRDefault="00D61D4C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</w:pPr>
            <w:r>
              <w:rPr>
                <w:b/>
                <w:sz w:val="16"/>
              </w:rPr>
              <w:t>OPĆINA MARIJA GORICA</w:t>
            </w: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  <w:jc w:val="right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4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  <w:jc w:val="right"/>
            </w:pPr>
            <w:bookmarkStart w:id="16" w:name="_GoBack"/>
            <w:bookmarkEnd w:id="16"/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Default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7340"/>
              <w:gridCol w:w="2000"/>
              <w:gridCol w:w="40"/>
              <w:gridCol w:w="880"/>
              <w:gridCol w:w="400"/>
              <w:gridCol w:w="900"/>
              <w:gridCol w:w="400"/>
              <w:gridCol w:w="900"/>
              <w:gridCol w:w="380"/>
              <w:gridCol w:w="40"/>
              <w:gridCol w:w="40"/>
              <w:gridCol w:w="680"/>
              <w:gridCol w:w="700"/>
              <w:gridCol w:w="680"/>
              <w:gridCol w:w="4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3860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GODINE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60" w:type="dxa"/>
                  <w:gridSpan w:val="3"/>
                  <w:tcBorders>
                    <w:bottom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INDEKS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 w:val="restart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BROJ KONTA</w:t>
                  </w:r>
                </w:p>
              </w:tc>
              <w:tc>
                <w:tcPr>
                  <w:tcW w:w="73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</w:pPr>
                  <w:r>
                    <w:rPr>
                      <w:b/>
                      <w:sz w:val="16"/>
                    </w:rPr>
                    <w:t>VRSTA RASHODA / IZDATAKA</w:t>
                  </w: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8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4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</w:t>
                  </w: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68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61D4C" w:rsidRDefault="00D61D4C">
                  <w:pPr>
                    <w:pStyle w:val="EMPTYCELLSTYLE"/>
                  </w:pPr>
                </w:p>
              </w:tc>
            </w:tr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00" w:type="dxa"/>
                  <w:vMerge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73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20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2019</w:t>
                  </w:r>
                </w:p>
              </w:tc>
              <w:tc>
                <w:tcPr>
                  <w:tcW w:w="1300" w:type="dxa"/>
                  <w:gridSpan w:val="2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2020</w:t>
                  </w:r>
                </w:p>
              </w:tc>
              <w:tc>
                <w:tcPr>
                  <w:tcW w:w="1300" w:type="dxa"/>
                  <w:gridSpan w:val="3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right"/>
                  </w:pPr>
                  <w:r>
                    <w:rPr>
                      <w:b/>
                      <w:sz w:val="16"/>
                    </w:rPr>
                    <w:t>2021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2/1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3/2</w:t>
                  </w:r>
                </w:p>
              </w:tc>
              <w:tc>
                <w:tcPr>
                  <w:tcW w:w="70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61D4C" w:rsidRDefault="00FA47E4">
                  <w:pPr>
                    <w:pStyle w:val="DefaultStyle"/>
                    <w:jc w:val="center"/>
                  </w:pPr>
                  <w:r>
                    <w:rPr>
                      <w:b/>
                      <w:sz w:val="16"/>
                    </w:rPr>
                    <w:t>3/1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5.3. Kapitalne pomoći od države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150,00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0000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0000FF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</w:pPr>
                  <w:r>
                    <w:rPr>
                      <w:sz w:val="16"/>
                    </w:rPr>
                    <w:t>Kapitalni projekt K100004 Nabava uredske opreme, namještaja, uređaja i ostale opreme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tcW w:w="13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104,55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60,87</w:t>
                  </w:r>
                </w:p>
              </w:tc>
              <w:tc>
                <w:tcPr>
                  <w:tcW w:w="700" w:type="dxa"/>
                  <w:shd w:val="clear" w:color="auto" w:fill="0000FF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prog3"/>
                    <w:jc w:val="right"/>
                  </w:pPr>
                  <w:r>
                    <w:rPr>
                      <w:sz w:val="16"/>
                    </w:rPr>
                    <w:t>63,64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020"/>
              <w:gridCol w:w="202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8020" w:type="dxa"/>
                  <w:shd w:val="clear" w:color="auto" w:fill="FFFF00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</w:pPr>
                  <w:r>
                    <w:rPr>
                      <w:sz w:val="16"/>
                    </w:rPr>
                    <w:t>Izvor 1.1. Prihodi od poreza</w:t>
                  </w:r>
                </w:p>
              </w:tc>
              <w:tc>
                <w:tcPr>
                  <w:tcW w:w="202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tcW w:w="13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104,55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60,87</w:t>
                  </w:r>
                </w:p>
              </w:tc>
              <w:tc>
                <w:tcPr>
                  <w:tcW w:w="700" w:type="dxa"/>
                  <w:shd w:val="clear" w:color="auto" w:fill="FFFF00"/>
                  <w:tcMar>
                    <w:top w:w="0" w:type="dxa"/>
                    <w:left w:w="0" w:type="dxa"/>
                    <w:bottom w:w="0" w:type="dxa"/>
                    <w:right w:w="40" w:type="dxa"/>
                  </w:tcMar>
                  <w:vAlign w:val="center"/>
                </w:tcPr>
                <w:p w:rsidR="00D61D4C" w:rsidRDefault="00FA47E4">
                  <w:pPr>
                    <w:pStyle w:val="izv1"/>
                    <w:jc w:val="right"/>
                  </w:pPr>
                  <w:r>
                    <w:rPr>
                      <w:sz w:val="16"/>
                    </w:rPr>
                    <w:t>63,64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</w:pPr>
                  <w:r>
                    <w:rPr>
                      <w:sz w:val="16"/>
                    </w:rPr>
                    <w:t>Rashodi za nabavu nefinancijske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11.500,00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7.000,00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104,55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60,87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10"/>
                    <w:jc w:val="right"/>
                  </w:pPr>
                  <w:r>
                    <w:rPr>
                      <w:sz w:val="16"/>
                    </w:rPr>
                    <w:t>63,64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41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neproizvedene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2.500,00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2.000,00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125,00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80,00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6840"/>
              <w:gridCol w:w="2500"/>
              <w:gridCol w:w="1300"/>
              <w:gridCol w:w="1300"/>
              <w:gridCol w:w="1300"/>
              <w:gridCol w:w="700"/>
              <w:gridCol w:w="700"/>
              <w:gridCol w:w="700"/>
            </w:tblGrid>
            <w:tr w:rsidR="00D61D4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700" w:type="dxa"/>
                  <w:tcMar>
                    <w:top w:w="40" w:type="dxa"/>
                    <w:left w:w="4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42</w:t>
                  </w:r>
                </w:p>
              </w:tc>
              <w:tc>
                <w:tcPr>
                  <w:tcW w:w="684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</w:pPr>
                  <w:r>
                    <w:rPr>
                      <w:sz w:val="16"/>
                    </w:rPr>
                    <w:t>Rashodi za nabavu proizvedene dugotrajne imovine</w:t>
                  </w:r>
                </w:p>
              </w:tc>
              <w:tc>
                <w:tcPr>
                  <w:tcW w:w="2500" w:type="dxa"/>
                </w:tcPr>
                <w:p w:rsidR="00D61D4C" w:rsidRDefault="00D61D4C">
                  <w:pPr>
                    <w:pStyle w:val="EMPTYCELLSTYLE"/>
                  </w:pP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9.000,00</w:t>
                  </w:r>
                </w:p>
              </w:tc>
              <w:tc>
                <w:tcPr>
                  <w:tcW w:w="13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5.000,00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100,00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55,56</w:t>
                  </w:r>
                </w:p>
              </w:tc>
              <w:tc>
                <w:tcPr>
                  <w:tcW w:w="700" w:type="dxa"/>
                  <w:tcMar>
                    <w:top w:w="40" w:type="dxa"/>
                    <w:left w:w="0" w:type="dxa"/>
                    <w:bottom w:w="40" w:type="dxa"/>
                    <w:right w:w="40" w:type="dxa"/>
                  </w:tcMar>
                </w:tcPr>
                <w:p w:rsidR="00D61D4C" w:rsidRDefault="00FA47E4">
                  <w:pPr>
                    <w:pStyle w:val="UvjetniStil"/>
                    <w:jc w:val="right"/>
                  </w:pPr>
                  <w:r>
                    <w:rPr>
                      <w:sz w:val="16"/>
                    </w:rPr>
                    <w:t>55,56</w:t>
                  </w:r>
                </w:p>
              </w:tc>
            </w:tr>
          </w:tbl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710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08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6040" w:type="dxa"/>
            <w:gridSpan w:val="1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  <w:tr w:rsidR="00D61D4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</w:pPr>
            <w:r>
              <w:rPr>
                <w:sz w:val="16"/>
              </w:rPr>
              <w:t>LCW147INU (2019)</w:t>
            </w:r>
          </w:p>
        </w:tc>
        <w:tc>
          <w:tcPr>
            <w:tcW w:w="264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60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/>
              <w:jc w:val="right"/>
            </w:pPr>
            <w:r>
              <w:rPr>
                <w:sz w:val="16"/>
              </w:rPr>
              <w:t>Stranica 16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right="40"/>
            </w:pPr>
            <w:r>
              <w:rPr>
                <w:sz w:val="16"/>
              </w:rPr>
              <w:t xml:space="preserve"> od 16</w:t>
            </w:r>
          </w:p>
        </w:tc>
        <w:tc>
          <w:tcPr>
            <w:tcW w:w="34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7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1D4C" w:rsidRDefault="00FA47E4">
            <w:pPr>
              <w:pStyle w:val="DefaultStyle"/>
              <w:ind w:left="40" w:right="40"/>
              <w:jc w:val="right"/>
            </w:pPr>
            <w:r>
              <w:rPr>
                <w:sz w:val="16"/>
              </w:rPr>
              <w:t>*Obrada LC*</w:t>
            </w:r>
          </w:p>
        </w:tc>
        <w:tc>
          <w:tcPr>
            <w:tcW w:w="20" w:type="dxa"/>
          </w:tcPr>
          <w:p w:rsidR="00D61D4C" w:rsidRDefault="00D61D4C">
            <w:pPr>
              <w:pStyle w:val="EMPTYCELLSTYLE"/>
            </w:pPr>
          </w:p>
        </w:tc>
        <w:tc>
          <w:tcPr>
            <w:tcW w:w="1" w:type="dxa"/>
          </w:tcPr>
          <w:p w:rsidR="00D61D4C" w:rsidRDefault="00D61D4C">
            <w:pPr>
              <w:pStyle w:val="EMPTYCELLSTYLE"/>
            </w:pPr>
          </w:p>
        </w:tc>
      </w:tr>
    </w:tbl>
    <w:p w:rsidR="00FA47E4" w:rsidRDefault="00FA47E4"/>
    <w:sectPr w:rsidR="00FA47E4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E4" w:rsidRDefault="00FA47E4" w:rsidP="009554AA">
      <w:r>
        <w:separator/>
      </w:r>
    </w:p>
  </w:endnote>
  <w:endnote w:type="continuationSeparator" w:id="0">
    <w:p w:rsidR="00FA47E4" w:rsidRDefault="00FA47E4" w:rsidP="0095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SansSerif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E4" w:rsidRDefault="00FA47E4" w:rsidP="009554AA">
      <w:r>
        <w:separator/>
      </w:r>
    </w:p>
  </w:footnote>
  <w:footnote w:type="continuationSeparator" w:id="0">
    <w:p w:rsidR="00FA47E4" w:rsidRDefault="00FA47E4" w:rsidP="0095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80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D4C"/>
    <w:rsid w:val="009554AA"/>
    <w:rsid w:val="00A61D55"/>
    <w:rsid w:val="00BA7591"/>
    <w:rsid w:val="00D61D4C"/>
    <w:rsid w:val="00F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AE5B"/>
  <w15:docId w15:val="{02487B2C-05B8-4FF2-A212-E357B65C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glava">
    <w:name w:val="glava"/>
    <w:basedOn w:val="DefaultStyle"/>
    <w:qFormat/>
    <w:rPr>
      <w:b/>
      <w:color w:val="FFFFFF"/>
    </w:rPr>
  </w:style>
  <w:style w:type="paragraph" w:customStyle="1" w:styleId="rgp1">
    <w:name w:val="rgp1"/>
    <w:basedOn w:val="DefaultStyle"/>
    <w:qFormat/>
    <w:rPr>
      <w:color w:val="FFFFFF"/>
    </w:rPr>
  </w:style>
  <w:style w:type="paragraph" w:customStyle="1" w:styleId="rgp2">
    <w:name w:val="rgp2"/>
    <w:basedOn w:val="DefaultStyle"/>
    <w:qFormat/>
    <w:rPr>
      <w:color w:val="FFFFFF"/>
    </w:rPr>
  </w:style>
  <w:style w:type="paragraph" w:customStyle="1" w:styleId="rgp3">
    <w:name w:val="rgp3"/>
    <w:basedOn w:val="DefaultStyle"/>
    <w:qFormat/>
    <w:rPr>
      <w:color w:val="FFFFFF"/>
    </w:rPr>
  </w:style>
  <w:style w:type="paragraph" w:customStyle="1" w:styleId="prog1">
    <w:name w:val="prog1"/>
    <w:basedOn w:val="DefaultStyle"/>
    <w:qFormat/>
    <w:rPr>
      <w:color w:val="FFFFFF"/>
    </w:rPr>
  </w:style>
  <w:style w:type="paragraph" w:customStyle="1" w:styleId="prog2">
    <w:name w:val="prog2"/>
    <w:basedOn w:val="DefaultStyle"/>
    <w:qFormat/>
    <w:rPr>
      <w:color w:val="FFFFFF"/>
    </w:rPr>
  </w:style>
  <w:style w:type="paragraph" w:customStyle="1" w:styleId="prog3">
    <w:name w:val="prog3"/>
    <w:basedOn w:val="DefaultStyle"/>
    <w:qFormat/>
    <w:rPr>
      <w:color w:val="FFFFFF"/>
    </w:rPr>
  </w:style>
  <w:style w:type="paragraph" w:customStyle="1" w:styleId="odj1">
    <w:name w:val="odj1"/>
    <w:basedOn w:val="DefaultStyle"/>
    <w:qFormat/>
  </w:style>
  <w:style w:type="paragraph" w:customStyle="1" w:styleId="odj2">
    <w:name w:val="odj2"/>
    <w:basedOn w:val="DefaultStyle"/>
    <w:qFormat/>
  </w:style>
  <w:style w:type="paragraph" w:customStyle="1" w:styleId="odj3">
    <w:name w:val="odj3"/>
    <w:basedOn w:val="DefaultStyle"/>
    <w:qFormat/>
  </w:style>
  <w:style w:type="paragraph" w:customStyle="1" w:styleId="fun1">
    <w:name w:val="fun1"/>
    <w:basedOn w:val="DefaultStyle"/>
    <w:qFormat/>
  </w:style>
  <w:style w:type="paragraph" w:customStyle="1" w:styleId="fun2">
    <w:name w:val="fun2"/>
    <w:basedOn w:val="DefaultStyle"/>
    <w:qFormat/>
  </w:style>
  <w:style w:type="paragraph" w:customStyle="1" w:styleId="fun3">
    <w:name w:val="fun3"/>
    <w:basedOn w:val="DefaultStyle"/>
    <w:qFormat/>
  </w:style>
  <w:style w:type="paragraph" w:customStyle="1" w:styleId="izv1">
    <w:name w:val="izv1"/>
    <w:basedOn w:val="DefaultStyle"/>
    <w:qFormat/>
  </w:style>
  <w:style w:type="paragraph" w:customStyle="1" w:styleId="izv2">
    <w:name w:val="izv2"/>
    <w:basedOn w:val="DefaultStyle"/>
    <w:qFormat/>
  </w:style>
  <w:style w:type="paragraph" w:customStyle="1" w:styleId="izv3">
    <w:name w:val="izv3"/>
    <w:basedOn w:val="DefaultStyle"/>
    <w:qFormat/>
  </w:style>
  <w:style w:type="paragraph" w:customStyle="1" w:styleId="kor1">
    <w:name w:val="kor1"/>
    <w:basedOn w:val="DefaultStyle"/>
    <w:qFormat/>
  </w:style>
  <w:style w:type="paragraph" w:customStyle="1" w:styleId="DefaultStyle">
    <w:name w:val="DefaultStyle"/>
    <w:qFormat/>
    <w:rPr>
      <w:rFonts w:ascii="Arimo" w:eastAsia="Arimo" w:hAnsi="Arimo" w:cs="Arimo"/>
      <w:color w:val="000000"/>
    </w:rPr>
  </w:style>
  <w:style w:type="paragraph" w:customStyle="1" w:styleId="glavaa">
    <w:name w:val="glavaa"/>
    <w:basedOn w:val="DefaultStyle"/>
    <w:qFormat/>
    <w:rPr>
      <w:color w:val="FFFFFF"/>
    </w:rPr>
  </w:style>
  <w:style w:type="paragraph" w:customStyle="1" w:styleId="rgp1a">
    <w:name w:val="rgp1a"/>
    <w:basedOn w:val="DefaultStyle"/>
    <w:qFormat/>
    <w:rPr>
      <w:color w:val="FFFFFF"/>
    </w:rPr>
  </w:style>
  <w:style w:type="paragraph" w:customStyle="1" w:styleId="rgp2a">
    <w:name w:val="rgp2a"/>
    <w:basedOn w:val="DefaultStyle"/>
    <w:qFormat/>
    <w:rPr>
      <w:color w:val="FFFFFF"/>
    </w:rPr>
  </w:style>
  <w:style w:type="paragraph" w:customStyle="1" w:styleId="rgp3a">
    <w:name w:val="rgp3a"/>
    <w:basedOn w:val="DefaultStyle"/>
    <w:qFormat/>
    <w:rPr>
      <w:color w:val="FFFFFF"/>
    </w:rPr>
  </w:style>
  <w:style w:type="paragraph" w:customStyle="1" w:styleId="prog1a">
    <w:name w:val="prog1a"/>
    <w:basedOn w:val="DefaultStyle"/>
    <w:qFormat/>
    <w:rPr>
      <w:color w:val="FFFFFF"/>
    </w:rPr>
  </w:style>
  <w:style w:type="paragraph" w:customStyle="1" w:styleId="prog2a">
    <w:name w:val="prog2a"/>
    <w:basedOn w:val="DefaultStyle"/>
    <w:qFormat/>
    <w:rPr>
      <w:color w:val="FFFFFF"/>
    </w:rPr>
  </w:style>
  <w:style w:type="paragraph" w:customStyle="1" w:styleId="prog3a">
    <w:name w:val="prog3a"/>
    <w:basedOn w:val="DefaultStyle"/>
    <w:qFormat/>
    <w:rPr>
      <w:color w:val="FFFFFF"/>
    </w:rPr>
  </w:style>
  <w:style w:type="paragraph" w:customStyle="1" w:styleId="izv1a">
    <w:name w:val="izv1a"/>
    <w:basedOn w:val="DefaultStyle"/>
    <w:qFormat/>
    <w:rPr>
      <w:color w:val="FFFFFF"/>
    </w:rPr>
  </w:style>
  <w:style w:type="paragraph" w:customStyle="1" w:styleId="izv2a">
    <w:name w:val="izv2a"/>
    <w:basedOn w:val="DefaultStyle"/>
    <w:qFormat/>
    <w:rPr>
      <w:color w:val="FFFFFF"/>
    </w:rPr>
  </w:style>
  <w:style w:type="paragraph" w:customStyle="1" w:styleId="izv3a">
    <w:name w:val="izv3a"/>
    <w:basedOn w:val="DefaultStyle"/>
    <w:qFormat/>
    <w:rPr>
      <w:color w:val="FFFFFF"/>
    </w:rPr>
  </w:style>
  <w:style w:type="paragraph" w:customStyle="1" w:styleId="kor1a">
    <w:name w:val="kor1a"/>
    <w:basedOn w:val="DefaultStyle"/>
    <w:qFormat/>
    <w:rPr>
      <w:color w:val="FFFFFF"/>
    </w:rPr>
  </w:style>
  <w:style w:type="paragraph" w:customStyle="1" w:styleId="odj1a">
    <w:name w:val="odj1a"/>
    <w:basedOn w:val="DefaultStyle"/>
    <w:qFormat/>
    <w:rPr>
      <w:color w:val="FFFFFF"/>
    </w:rPr>
  </w:style>
  <w:style w:type="paragraph" w:customStyle="1" w:styleId="odj2a">
    <w:name w:val="odj2a"/>
    <w:basedOn w:val="DefaultStyle"/>
    <w:qFormat/>
    <w:rPr>
      <w:color w:val="FFFFFF"/>
    </w:rPr>
  </w:style>
  <w:style w:type="paragraph" w:customStyle="1" w:styleId="odj3a">
    <w:name w:val="odj3a"/>
    <w:basedOn w:val="DefaultStyle"/>
    <w:qFormat/>
    <w:rPr>
      <w:color w:val="FFFFFF"/>
    </w:rPr>
  </w:style>
  <w:style w:type="paragraph" w:customStyle="1" w:styleId="fun1a">
    <w:name w:val="fun1a"/>
    <w:basedOn w:val="DefaultStyle"/>
    <w:qFormat/>
    <w:rPr>
      <w:color w:val="FFFFFF"/>
    </w:rPr>
  </w:style>
  <w:style w:type="paragraph" w:customStyle="1" w:styleId="fun2a">
    <w:name w:val="fun2a"/>
    <w:basedOn w:val="DefaultStyle"/>
    <w:qFormat/>
    <w:rPr>
      <w:color w:val="FFFFFF"/>
    </w:rPr>
  </w:style>
  <w:style w:type="paragraph" w:customStyle="1" w:styleId="fun3a">
    <w:name w:val="fun3a"/>
    <w:basedOn w:val="DefaultStyle"/>
    <w:qFormat/>
    <w:rPr>
      <w:color w:val="FFFFFF"/>
    </w:rPr>
  </w:style>
  <w:style w:type="paragraph" w:customStyle="1" w:styleId="UvjetniStil">
    <w:name w:val="UvjetniStil"/>
    <w:basedOn w:val="DefaultStyle"/>
    <w:qFormat/>
  </w:style>
  <w:style w:type="paragraph" w:customStyle="1" w:styleId="TipHeaderStil">
    <w:name w:val="TipHeaderStil"/>
    <w:basedOn w:val="DefaultStyle"/>
    <w:qFormat/>
  </w:style>
  <w:style w:type="paragraph" w:customStyle="1" w:styleId="TipHeaderStil1">
    <w:name w:val="TipHeaderStil|1"/>
    <w:qFormat/>
    <w:rPr>
      <w:rFonts w:ascii="SansSerif" w:eastAsia="SansSerif" w:hAnsi="SansSerif" w:cs="SansSerif"/>
      <w:color w:val="000000"/>
    </w:rPr>
  </w:style>
  <w:style w:type="paragraph" w:customStyle="1" w:styleId="UvjetniStil10">
    <w:name w:val="UvjetniStil|10"/>
    <w:qFormat/>
    <w:rPr>
      <w:rFonts w:ascii="Arimo" w:eastAsia="Arimo" w:hAnsi="Arimo" w:cs="Arimo"/>
      <w:b/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9554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54AA"/>
  </w:style>
  <w:style w:type="paragraph" w:styleId="Podnoje">
    <w:name w:val="footer"/>
    <w:basedOn w:val="Normal"/>
    <w:link w:val="PodnojeChar"/>
    <w:uiPriority w:val="99"/>
    <w:unhideWhenUsed/>
    <w:rsid w:val="009554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5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7171</Words>
  <Characters>40877</Characters>
  <Application>Microsoft Office Word</Application>
  <DocSecurity>0</DocSecurity>
  <Lines>340</Lines>
  <Paragraphs>95</Paragraphs>
  <ScaleCrop>false</ScaleCrop>
  <Company/>
  <LinksUpToDate>false</LinksUpToDate>
  <CharactersWithSpaces>47953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2019-10-18T06:49:00Z</dcterms:created>
  <dcterms:modified xsi:type="dcterms:W3CDTF">2019-10-18T07:34:00Z</dcterms:modified>
</cp:coreProperties>
</file>