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B48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B48D2" w:rsidRDefault="00E8390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B48D2" w:rsidRDefault="00E83900">
            <w:pPr>
              <w:spacing w:after="0" w:line="240" w:lineRule="auto"/>
            </w:pPr>
            <w:r>
              <w:t>26993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B48D2" w:rsidRDefault="00E839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B48D2" w:rsidRDefault="00E83900">
            <w:pPr>
              <w:spacing w:after="0" w:line="240" w:lineRule="auto"/>
            </w:pPr>
            <w:r>
              <w:t>OPĆINA MARIJA GORICA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B48D2" w:rsidRDefault="00E839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B48D2" w:rsidRDefault="00E83900">
            <w:pPr>
              <w:spacing w:after="0" w:line="240" w:lineRule="auto"/>
            </w:pPr>
            <w:r>
              <w:t>22</w:t>
            </w:r>
          </w:p>
        </w:tc>
      </w:tr>
    </w:tbl>
    <w:p w:rsidR="00DB48D2" w:rsidRDefault="00E83900">
      <w:r>
        <w:br/>
      </w:r>
    </w:p>
    <w:p w:rsidR="00DB48D2" w:rsidRDefault="00E839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B48D2" w:rsidRDefault="00E839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B48D2" w:rsidRDefault="00E83900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403.536,76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494.794,41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230.666,04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363.829,76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157,7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DB48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172.870,72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130.964,65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75,8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195.568,06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4481,5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DB48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4.363,86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195.568,06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4481,5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DB48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DB48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64.603,41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 xml:space="preserve">Ukupni prihodi poslovanja općine veći su za 22,6% u odnosu na isto razdoblje 2025. Povećanje se očituje u poreznim prihodima i potporama proračunu. Rashodi poslovanja veći su za 57,7% odnosno za 133.163,72 eura. Najveće povećanje očituje se u rashodima za </w:t>
      </w:r>
      <w:r>
        <w:t xml:space="preserve">usluge tekućeg održavanja, naknadama građanima i kućanstvima u naravi te kapitalnoj pomoći </w:t>
      </w:r>
      <w:proofErr w:type="spellStart"/>
      <w:r>
        <w:t>Vodoopskbi</w:t>
      </w:r>
      <w:proofErr w:type="spellEnd"/>
      <w:r>
        <w:t xml:space="preserve"> i odvodnji Zaprešić d.o.o. na ime izgradnje sustava vodoopskrbe. </w:t>
      </w:r>
      <w:r>
        <w:br/>
        <w:t>Rashodi za nabavu nefinancijske imovine iznose 195.568,06 eura, veći su za 4.481,5% u od</w:t>
      </w:r>
      <w:r>
        <w:t xml:space="preserve">nosu na isto razdoblje 2025.g. Najvećim dijelom odnose se na ostale građevinske objekte - </w:t>
      </w:r>
      <w:r>
        <w:lastRenderedPageBreak/>
        <w:t>izgradnju dječjeg igrališta u Mariji Gorici - 173.566,57 eura, nabavu nematerijalne imovine, ulaganja u računalne programe (riznicu) i izradu prostorno planske dokume</w:t>
      </w:r>
      <w:r>
        <w:t>ntacije. </w:t>
      </w:r>
    </w:p>
    <w:p w:rsidR="00DB48D2" w:rsidRDefault="00E83900">
      <w:r>
        <w:t xml:space="preserve">Manjak prihoda tekuće godine iznosi 64.603,41 </w:t>
      </w:r>
      <w:proofErr w:type="spellStart"/>
      <w:r>
        <w:t>eur</w:t>
      </w:r>
      <w:proofErr w:type="spellEnd"/>
      <w:r>
        <w:t>, zajedno s prenesenim viškom iz 2025. od 587.708,23 eura predstavlja višak od 523.104,82 eura raspoloživo u sljedećem razdoblju.</w:t>
      </w:r>
    </w:p>
    <w:p w:rsidR="00DB48D2" w:rsidRDefault="00E83900">
      <w:r>
        <w:br/>
      </w:r>
    </w:p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348.245,90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381.001,74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Porez na dohodak veći je za 9,4% u odnosu na isto razdoblje 2025, rezultat je porezne reforme.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408,7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Rješenja o porezu na nekretnine upućena su u studenom 2025.g. te se prihod realizira u prvom tromjesečju ove godine. 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6.873,00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26.927,07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391,8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Ostvarene tekuće pomoći proračunu odnose se na sredstva Državnog proračuna za fiskalno izravnanje te za fiskalnu održivost dječjih vrtića.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57.612,15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 xml:space="preserve">Kapitalna pomoć temeljem prijenosa EU </w:t>
      </w:r>
      <w:proofErr w:type="spellStart"/>
      <w:r>
        <w:t>sredstsava</w:t>
      </w:r>
      <w:proofErr w:type="spellEnd"/>
      <w:r>
        <w:t xml:space="preserve"> ostvarena za projekt Bike </w:t>
      </w:r>
      <w:proofErr w:type="spellStart"/>
      <w:r>
        <w:t>connect</w:t>
      </w:r>
      <w:proofErr w:type="spellEnd"/>
      <w:r>
        <w:t>, izgradnju biciklističke staze.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8.017,06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Riječ je o prihodima od najma poslovnih prostora te o naknadi Gradske plinare Zagreb za zakup plinske mreže.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Ostali nespomenuti prihodi odnose se na grobnu naknadu Marija Gorica i Sveti Križ, prihode od naknade za zadržavanje nezakonito izgrađenih zgrada te ostale prihode za posebne namjene-temeljem ugovornih obveza-refundacija za plaću čistačice-Dom zdravlja, Lj</w:t>
      </w:r>
      <w:r>
        <w:t xml:space="preserve">ekarne ZG županije i </w:t>
      </w:r>
      <w:proofErr w:type="spellStart"/>
      <w:r>
        <w:t>dr.stom.Bukovina</w:t>
      </w:r>
      <w:proofErr w:type="spellEnd"/>
      <w:r>
        <w:t>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33.084,05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39.398,60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Tijekom 2025. povećana je osnovica kao i koeficijenti za obračun plaće službenika i namještenika.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12.942,11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Usluge tekućeg i investicijskog održavanja odnose se na servis kombi vozila 442,11 eura te na usluge sanacije privremene deponije u Kraju Donjem 12.500,00 eura.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316,3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Usluge promidžbe i informiranja veće su za 216,3%, pored redovnog medijskog praćenja događanja općine, povećanje se očituje u objavi javne rasprave po izmjenama i dopunama Prostornog plana i natječaju za pročelnika.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203,0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Komunalne usluge povećane su zbog usluge prijevoza pokojnika na sudsku medicinu.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12.885,79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28.943,21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224,6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Odnose se na održavanje javnih površina i groblja, ugovore o poslu redovitog studenta, odvjetničke usluge, geodetsko katastarske usluge izmjere stvarnog stanja grobnih mjesta, stručni nadzor na izgradnji dječjeg igrališta, provođenje postupaka javne nabave</w:t>
      </w:r>
      <w:r>
        <w:t xml:space="preserve"> te izradu troškovnika za ojačanje kolnika NC.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7.057,93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152,1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Grafičke i tiskarske usluge odnose se na izradu jumbo plakata za koncert, plakate za rasvjetne vitrine, izradu natpisnih ploča te naknade Poreznoj upravi za poslove zaduženja i naplate općinskih poreza.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10.583,84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 xml:space="preserve">Ostali nespomenuti rashodi poslovanja odnose se na </w:t>
      </w:r>
      <w:proofErr w:type="spellStart"/>
      <w:r>
        <w:t>pokoviteljstvo</w:t>
      </w:r>
      <w:proofErr w:type="spellEnd"/>
      <w:r>
        <w:t xml:space="preserve"> koncerta Slavonska rapsodija, jaglace za Dan žena, pisanice od stiropora.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 xml:space="preserve">Pomoći općini </w:t>
      </w:r>
      <w:proofErr w:type="spellStart"/>
      <w:r>
        <w:t>Jakovlje</w:t>
      </w:r>
      <w:proofErr w:type="spellEnd"/>
      <w:r>
        <w:t xml:space="preserve"> za sufinanciranje troškova zajedničkih službenika - referenta za računovodstvo i financije te komunalnog redara.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8.647,87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Rashodi poslovanja proračunskog korisnika Općinske knjižnice Ante Kovačića.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proračunskim korisnicima iz nadležnog proračuna za nabavu nefinancijske </w:t>
            </w:r>
            <w:r>
              <w:rPr>
                <w:sz w:val="18"/>
              </w:rPr>
              <w:t>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59,2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Rashodi Općinske knjižnice za nabavu knjižne građe.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57.612,15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 xml:space="preserve">Rashodi za pomoći općini </w:t>
      </w:r>
      <w:proofErr w:type="spellStart"/>
      <w:r>
        <w:t>Brdovec</w:t>
      </w:r>
      <w:proofErr w:type="spellEnd"/>
      <w:r>
        <w:t xml:space="preserve"> na temelju prijenosa EU sredstava kao partneru u projektu Bike </w:t>
      </w:r>
      <w:proofErr w:type="spellStart"/>
      <w:r>
        <w:t>connect</w:t>
      </w:r>
      <w:proofErr w:type="spellEnd"/>
      <w:r>
        <w:t>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41.728,09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66.295,49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 xml:space="preserve">Naknade građanima i kućanstvima u naravi odnose se na sufinanciranje dječjih vrtića, financiranje produženog boravka i </w:t>
      </w:r>
      <w:proofErr w:type="spellStart"/>
      <w:r>
        <w:t>predškole</w:t>
      </w:r>
      <w:proofErr w:type="spellEnd"/>
      <w:r>
        <w:t>, škole u prirodi, sufinanciranje prijevoza učenika i studenata te starijih osoba od 65g, školu plivanja, maturalno putovanje uč</w:t>
      </w:r>
      <w:r>
        <w:t xml:space="preserve">enika OŠ, instrumentalnu poduku orkestra Kovačići te na </w:t>
      </w:r>
      <w:proofErr w:type="spellStart"/>
      <w:r>
        <w:t>prepaid</w:t>
      </w:r>
      <w:proofErr w:type="spellEnd"/>
      <w:r>
        <w:t xml:space="preserve"> bonove za parkiranje dobrovoljnih darivatelja krvi.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9260,9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Predstavlja zakonsku obvezu općine za financiranje vatrogastva, razlika za 2025.g.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59.419,73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56.210,85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Obveza prema Vodoopskrbi i odvodnji Zaprešić za izgradnju vodoopskrbe Gospodarske zone Kraj Donji.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264,0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Izrada grafičkog prikaza i opisa rodne kuće književnika Ante Kovačića.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173.566,57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Ispostavljene 3. i okončana situacija za izgradnju i opremanje dječjeg igrališta u Mariji Gorici.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153,6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Nabavljen je printer, monitor i baterije za prijenosna računala.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1163,1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Ulaganja se odnose na nabavu programskog rješenja lokalne riznice.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Umjetnička, </w:t>
            </w:r>
            <w:r>
              <w:rPr>
                <w:sz w:val="18"/>
              </w:rPr>
              <w:t>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Rashodi za izradu 4. izmjena i dopuna Prostornog plana uređenja Općine Marija Gorica, 30% po održanoj javnoj raspravi.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DB48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96.379,46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Dospjele obveze u iznosu od 96.379,46 eura predstavljaju obveze za rashode poslovanja: </w:t>
      </w:r>
    </w:p>
    <w:p w:rsidR="00DB48D2" w:rsidRDefault="00E83900">
      <w:r>
        <w:t xml:space="preserve">potrošnja </w:t>
      </w:r>
      <w:proofErr w:type="spellStart"/>
      <w:r>
        <w:t>vode,plina</w:t>
      </w:r>
      <w:proofErr w:type="spellEnd"/>
      <w:r>
        <w:t xml:space="preserve">, </w:t>
      </w:r>
      <w:proofErr w:type="spellStart"/>
      <w:r>
        <w:t>el.energije</w:t>
      </w:r>
      <w:proofErr w:type="spellEnd"/>
      <w:r>
        <w:t>, telefonske usluge, konzultantske usluge, usluge promidžbe i informiranja, veterinarske usluge, računalne, obveze Vatrogasnoj zajednici i najvećim dijelom od 75.284,42 eura obveze Vodoopskrbi i odvodnji Zaprešić za rekonst</w:t>
      </w:r>
      <w:r>
        <w:t>rukciju i dogradnju cjevovoda te izgradnju vodoopskrbe u Gospodarskoj zoni Kraj Donji. Razlog nepodmirenja je tehničke prirode.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60.525,97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Nedospjele obveze za rashode poslovanja odnose se na plaću za 03/2026, usluge sanacije deponija, dječje vrtiće 03/26, obveze prema školi za subvenciju škole u prirodi, maturalnog putovanja i plivanja. 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</w:t>
            </w:r>
            <w:r>
              <w:rPr>
                <w:b/>
                <w:sz w:val="18"/>
              </w:rPr>
              <w:t>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15.678,25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Nedospjele obveze za nabavu nefinancijske imovine odnose se na izradu izmjena i dopuna Prostornog plana te na projektnu dokumentaciju uređenja kuće književnika Ante Kovačića.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B48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48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39.902,75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B48D2" w:rsidRDefault="00E839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B48D2" w:rsidRDefault="00DB48D2">
      <w:pPr>
        <w:spacing w:after="0"/>
      </w:pPr>
    </w:p>
    <w:p w:rsidR="00DB48D2" w:rsidRDefault="00E83900">
      <w:r>
        <w:t>Nedospjele obveze za tuđe prihode odnose se na obvezu prijenosa naknade za uređenje voda HR vodama, prijenos najma DVD-u Trstenik i prijenos proračunskom korisniku Općinskoj knjižnici sredstva od Zagrebačke županije i Ministarstva kulture.</w:t>
      </w:r>
    </w:p>
    <w:p w:rsidR="00DB48D2" w:rsidRDefault="00DB48D2"/>
    <w:p w:rsidR="00DB48D2" w:rsidRDefault="00E83900">
      <w:pPr>
        <w:keepNext/>
        <w:spacing w:line="240" w:lineRule="auto"/>
        <w:jc w:val="center"/>
      </w:pPr>
      <w:r>
        <w:rPr>
          <w:sz w:val="28"/>
        </w:rPr>
        <w:t>Bilješka 31.</w:t>
      </w:r>
    </w:p>
    <w:p w:rsidR="00DB48D2" w:rsidRDefault="00E83900">
      <w:pPr>
        <w:spacing w:line="240" w:lineRule="auto"/>
        <w:jc w:val="both"/>
      </w:pPr>
      <w:r>
        <w:rPr>
          <w:b/>
        </w:rPr>
        <w:t>EU</w:t>
      </w:r>
      <w:r>
        <w:rPr>
          <w:b/>
        </w:rPr>
        <w:t xml:space="preserve"> izvještaj</w:t>
      </w:r>
    </w:p>
    <w:p w:rsidR="00DB48D2" w:rsidRDefault="00E83900">
      <w:r>
        <w:t>Općina Marija Gorica sklopila je Ugovor o dodjeli bespovratnih sredstava za projekte koji se financiraju iz "Integriranog teritorijalnog programa" u financijskom razdoblju 2021-2027., projekt IP.2.1.02.0010 BIKE CONNECT - ruta mobilnosti i zajed</w:t>
      </w:r>
      <w:r>
        <w:t>ništva - izgradnja biciklističke infrastrukture Marija Gorica-Pušća-Zaprešić-</w:t>
      </w:r>
      <w:proofErr w:type="spellStart"/>
      <w:r>
        <w:t>Brdovec</w:t>
      </w:r>
      <w:proofErr w:type="spellEnd"/>
      <w:r>
        <w:t xml:space="preserve">. Dodijeljena bespovratna sredstva u iznosu od 840.269,30 EUR osigurana su u Državnom proračunu RH, poziciji MRRFEU, Razdjel 061/glava/06105, Program 29-Regionalni razvoj, </w:t>
      </w:r>
      <w:r>
        <w:t>Potprogram 2901-Regionalna konkurentnost i urbani razvoj, Aktivnost K758062 Integrirani teritorijalni program 2021-2027, stavak 368-Pomoći temeljem prijenosa EU sredstava, Konto 3682-Kapitalne pomoći proračunskim korisnicima državnog proračuna temeljem pri</w:t>
      </w:r>
      <w:r>
        <w:t>jenosa EU sredstava, Izvor 563-Europski fond za regionalni razvoj.</w:t>
      </w:r>
    </w:p>
    <w:p w:rsidR="00DB48D2" w:rsidRDefault="00DB48D2"/>
    <w:sectPr w:rsidR="00DB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48D2"/>
    <w:rsid w:val="00DB48D2"/>
    <w:rsid w:val="00E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0F87C-B0CA-4555-AAA3-45C91DA8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Windows User</cp:lastModifiedBy>
  <cp:revision>2</cp:revision>
  <cp:lastPrinted>2026-04-29T07:43:00Z</cp:lastPrinted>
  <dcterms:created xsi:type="dcterms:W3CDTF">2026-04-29T07:44:00Z</dcterms:created>
  <dcterms:modified xsi:type="dcterms:W3CDTF">2026-04-29T07:44:00Z</dcterms:modified>
</cp:coreProperties>
</file>