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2125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21253" w:rsidRDefault="009A330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21253" w:rsidRDefault="009A330D">
            <w:pPr>
              <w:spacing w:after="0" w:line="240" w:lineRule="auto"/>
            </w:pPr>
            <w:r>
              <w:t>26993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21253" w:rsidRDefault="009A330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21253" w:rsidRDefault="009A330D">
            <w:pPr>
              <w:spacing w:after="0" w:line="240" w:lineRule="auto"/>
            </w:pPr>
            <w:r>
              <w:t>OPĆINA MARIJA GORICA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21253" w:rsidRDefault="009A330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21253" w:rsidRDefault="009A330D">
            <w:pPr>
              <w:spacing w:after="0" w:line="240" w:lineRule="auto"/>
            </w:pPr>
            <w:r>
              <w:t>23</w:t>
            </w:r>
          </w:p>
        </w:tc>
      </w:tr>
    </w:tbl>
    <w:p w:rsidR="00821253" w:rsidRDefault="009A330D">
      <w:r>
        <w:br/>
      </w:r>
    </w:p>
    <w:p w:rsidR="00821253" w:rsidRDefault="009A330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21253" w:rsidRDefault="009A330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21253" w:rsidRDefault="009A330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21253" w:rsidRDefault="00821253">
      <w:bookmarkStart w:id="0" w:name="_GoBack"/>
      <w:bookmarkEnd w:id="0"/>
    </w:p>
    <w:p w:rsidR="00821253" w:rsidRDefault="009A330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2.054.894,32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1.920.649,89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1.175.299,25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1.351.721,39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8212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879.595,07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568.928,50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64,7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220.431,47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389.328,92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176,6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8212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220.431,47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389.328,92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176,6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302.551,38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8212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301.768,10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8212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357.395,50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179.599,58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50,3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Ukupni prihodi poslovanja općine manji su za 6,6% u odnosu na isto razdoblje 2024. Smanjenje se očituje u potporama proračunu, naime 2024. su se provodile veće investicije a samim time su i potpore bile veće, dok je porez na dohodak ostvaren za 11,2% više </w:t>
      </w:r>
      <w:r>
        <w:t>u odnosu na 2024. Rashodi poslovanja veći su za 16,8%, najveće povećanje očituje se u rashodima za usluge, naročito geodetske usluge, usluge tekućeg održavanja, prijenos proračunskom korisniku, naknadama građanima i kućanstvima u naravi te kapitalnoj pomoć</w:t>
      </w:r>
      <w:r>
        <w:t xml:space="preserve">i komunalnom poduzeću Zaprešić d.o.o. na ime izgradnje sustava vodoopskrbe. Rashodi za nabavu </w:t>
      </w:r>
      <w:r>
        <w:lastRenderedPageBreak/>
        <w:t>nefinancijske imovine iznose 376.418,74 eura, veći su za 81,2% u odnosu na isto razdoblje 2024.g. Najvećim dijelom odnose se na nabavu nematerijalne imovine, ojač</w:t>
      </w:r>
      <w:r>
        <w:t>anje kolnika nerazvrstanih cesta, nabavu uređaja i izradu prostorno planske dokumentacije.</w:t>
      </w:r>
      <w:r>
        <w:br/>
        <w:t>Višak prihoda tekuće godine iznosi 162.611,40 eura što zajedno s prenesenim 425.096,83 iznosi 587.708,23 eura. Isti će se uključiti u plan proračuna za 2026. prvim i</w:t>
      </w:r>
      <w:r>
        <w:t>zmjenama i dopunama, sukladnom svojoj namjeni. </w:t>
      </w:r>
    </w:p>
    <w:p w:rsidR="00821253" w:rsidRDefault="009A330D">
      <w:r>
        <w:t>Ukupne prihode poslovanja knjižnice od 67.069,90 eura čine prihodi iz nadležnog proračuna za financiranje rashoda poslovanja 48.100,00 eura, za financiranje rashoda za nabavu nefinancijske imovine 6.900,00 eu</w:t>
      </w:r>
      <w:r>
        <w:t xml:space="preserve">ra; prihodi od Zagrebačke županije za nabavu knjižne građe i provođenje programa u kulturi 4.166,00 eura te prihodi od Ministarstva kulture za nabavu knjižne i </w:t>
      </w:r>
      <w:proofErr w:type="spellStart"/>
      <w:r>
        <w:t>neknjižne</w:t>
      </w:r>
      <w:proofErr w:type="spellEnd"/>
      <w:r>
        <w:t xml:space="preserve"> građe 6.500,00 eura i program Čitajmo 1.000,00 eura. Također, prihodi od upisnina i </w:t>
      </w:r>
      <w:proofErr w:type="spellStart"/>
      <w:r>
        <w:t>za</w:t>
      </w:r>
      <w:r>
        <w:t>kasnina</w:t>
      </w:r>
      <w:proofErr w:type="spellEnd"/>
      <w:r>
        <w:t xml:space="preserve"> iznose 403,90 eura.</w:t>
      </w:r>
    </w:p>
    <w:p w:rsidR="00821253" w:rsidRDefault="009A330D">
      <w:r>
        <w:t>Rashodi poslovanja knjižnice odnose se na plaću ravnatelja, ugovore o djelu, o autorskom djelu, režijske troškove te na provedene radionice. </w:t>
      </w:r>
      <w:r>
        <w:br/>
        <w:t>Rashodi za nabavu nefinancijske imovine odnose se na nabavu knjižne građe 12.310,38 eu</w:t>
      </w:r>
      <w:r>
        <w:t>ra te na nabavu stolaca za knjižnicu.</w:t>
      </w:r>
      <w:r>
        <w:br/>
        <w:t>Višak prihoda knjižnice u tekućoj godini iznosi 16.988,18 eura što zajedno s prenesenim 379,98 eura iznosi 17.368,16 eura. Isti će se uključiti u plan proračuna za 2026. prvim izmjenama i dopunama, sukladnom svojoj nam</w:t>
      </w:r>
      <w:r>
        <w:t>jeni. </w:t>
      </w:r>
    </w:p>
    <w:p w:rsidR="00821253" w:rsidRDefault="009A330D">
      <w:r>
        <w:br/>
      </w:r>
    </w:p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2.054.894,32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1.920.649,89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Prihodi poslovanja Općinske knjižnice sačinjeni su najvećim dijelom od prihoda nadležnog proračuna, zatim Ministarstva kulture te Zagrebačke županije.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1.162.304,23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1.292.994,78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Porez na dohodak veći je za 11,2% u odnosu na isto razdoblje 2024., rezultat je porezne reforme.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25.569,86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18.777,37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73,4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Razlog nižeg indeksa ostvarenja prihoda od poreza na nekretnine u 2025. je zbog kasnijeg slanja razreza poreza.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73.252,44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60.286,18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82,3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Ostvarenje poreza na promet nekretnina manje za 17,7% rezultat je kretanja tržišta nekretnina.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100.318,01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55.786,64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55,6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Ostvarene tekuće pomoći proračunu općine odnose se na pomoći iz županijskog proračuna (28.294,64 eura za Božićni sajam, </w:t>
      </w:r>
      <w:proofErr w:type="spellStart"/>
      <w:r>
        <w:t>Štruklijadu</w:t>
      </w:r>
      <w:proofErr w:type="spellEnd"/>
      <w:r>
        <w:t>, lokalne i regionalne izbore te za sanaciju deponija) i državnog proračuna za fiskalnu održivost dječjih vrtića 27.492,00 eu</w:t>
      </w:r>
      <w:r>
        <w:t>ra.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427.623,44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284.118,50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66,4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Kapitalne pomoći županijskog proračuna općinskom u iznosu od 223.725,00 eura odnose se na razvoj poduzetničke zone, izgradnju prometne infrastrukture, izradu projektne dokumentacije za SRC, projektnu dokumentaciju, izgradnju i opremanje dječjeg igrališta u</w:t>
      </w:r>
      <w:r>
        <w:t xml:space="preserve"> Mariji Gorici-</w:t>
      </w:r>
      <w:proofErr w:type="spellStart"/>
      <w:r>
        <w:t>Oplazniku</w:t>
      </w:r>
      <w:proofErr w:type="spellEnd"/>
      <w:r>
        <w:t xml:space="preserve">. Kapitalne pomoći iz državnog proračuna u iznosu od 60.393,50 eura odnose se na ojačanje kolnika </w:t>
      </w:r>
      <w:proofErr w:type="spellStart"/>
      <w:r>
        <w:t>nerazvrstabih</w:t>
      </w:r>
      <w:proofErr w:type="spellEnd"/>
      <w:r>
        <w:t xml:space="preserve"> cesta i opremanje dječjeg vrtića u </w:t>
      </w:r>
      <w:proofErr w:type="spellStart"/>
      <w:r>
        <w:t>Trsteniku</w:t>
      </w:r>
      <w:proofErr w:type="spellEnd"/>
      <w:r>
        <w:t>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79,1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Prihodi Zagrebačke županije za manifestaciju Kaj su jeli i </w:t>
      </w:r>
      <w:proofErr w:type="spellStart"/>
      <w:r>
        <w:t>kak</w:t>
      </w:r>
      <w:proofErr w:type="spellEnd"/>
      <w:r>
        <w:t xml:space="preserve"> su živjeli naši jako stari i prihodi Ministarstva kulture za </w:t>
      </w:r>
      <w:proofErr w:type="spellStart"/>
      <w:r>
        <w:t>progam</w:t>
      </w:r>
      <w:proofErr w:type="spellEnd"/>
      <w:r>
        <w:t xml:space="preserve"> </w:t>
      </w:r>
      <w:proofErr w:type="spellStart"/>
      <w:r>
        <w:t>ČitAJMO</w:t>
      </w:r>
      <w:proofErr w:type="spellEnd"/>
      <w:r>
        <w:t>!, projekte koje provodi Općinska knjižnica.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9.278,00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9.666,00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Prihodi Općinske knjižnice od Ministarstva kulture za nabavu knjižne građe 6.500,00 eura i Zagrebačke županije 3.166,00 eura za nabavu knjižne građe.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20.303,07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16.553,50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81,5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Riječ je o prihodima općine od najma poslovnih prostora te o naknadi GPZ za zakup plinske mreže.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10.512,42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10.512,42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Naknada općini od HT za EKIHT.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25.593,45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22.900,95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89,5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Ostali nespomenuti prihodi općine odnose se na grobnu naknadu Marija Gorica i Sveti Križ, prihode od vodnog doprinosa, naknade za zadržavanje nezakonito izgrađenih zgrada te ostale prihode za posebne namjene (prihodi na temelju ugovornih obveza - </w:t>
      </w:r>
      <w:proofErr w:type="spellStart"/>
      <w:r>
        <w:t>refudnaci</w:t>
      </w:r>
      <w:r>
        <w:t>ja</w:t>
      </w:r>
      <w:proofErr w:type="spellEnd"/>
      <w:r>
        <w:t xml:space="preserve"> za plaću čistačice - Dom zdravlja, Ljekarne ZG županije i </w:t>
      </w:r>
      <w:proofErr w:type="spellStart"/>
      <w:r>
        <w:t>dr.stom</w:t>
      </w:r>
      <w:proofErr w:type="spellEnd"/>
      <w:r>
        <w:t>. Bukovina).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15.331,26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20.481,11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Komunalni doprinos veći je za 33,6% u odnosu na 2024. iz razloga dospijeća plaćanja po ranije izdanim rješenjima i izdavanja novih rješenja.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Prihodi knjižnice od upisnina i </w:t>
      </w:r>
      <w:proofErr w:type="spellStart"/>
      <w:r>
        <w:t>zakasnina</w:t>
      </w:r>
      <w:proofErr w:type="spellEnd"/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128.616,02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143.474,63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Povećane su osnovica i koeficijenti za obračun plaće u jedinstvenom upravnom odjelu, kao i osnovica za obračun plaće načelnika sukladno odluci Vlade RH o osnovici za obračun plaće dužnosnika.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206,0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Rashodi za stručno usavršavanje zaposlenika općine veći su za 106,00% zbog prisustvovanja seminarima o aktualnim pitanjima i promjenama koje se tiču rada pojedinog službenika.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8.189,96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157,6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Povećanje od 65,7% u odnosu na 2024. najviše se očituje u proširenju stručne literature Jedinstvenog upravnog odjela općine.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75.100,30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97.026,60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Povećanje rashoda općine za energiju od 29,3% rezultat je rasta cijena.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318,9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Povećanje rashoda općine za 234,10% odnosi se na nabavu dijelova za sanitarije u domu Trstenik, dijelove za općinski traktor te led reflektore za igralište u Kraju Donjem.</w:t>
      </w:r>
    </w:p>
    <w:p w:rsidR="00821253" w:rsidRDefault="009A330D">
      <w:r>
        <w:t> 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6.525,45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230,0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Nabavljen sitan inventar za općinu odnosi se na barokne klupe, koševe, </w:t>
      </w:r>
      <w:proofErr w:type="spellStart"/>
      <w:r>
        <w:t>tapison</w:t>
      </w:r>
      <w:proofErr w:type="spellEnd"/>
      <w:r>
        <w:t>, izložbene lutke, topove-šprice za igralište Kraj Donji, zastave i akumulator.</w:t>
      </w:r>
    </w:p>
    <w:p w:rsidR="00821253" w:rsidRDefault="009A330D">
      <w:r>
        <w:t> 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75.800,13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99.527,00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Usluge tekućeg i investicijskog održavanja odnose se na zimsku službu, redovno održavanje nerazvrstanih cesta, održavanje elemenata javne rasvjete, uređenje prostora za arhiv te na </w:t>
      </w:r>
      <w:proofErr w:type="spellStart"/>
      <w:r>
        <w:t>prespoj</w:t>
      </w:r>
      <w:proofErr w:type="spellEnd"/>
      <w:r>
        <w:t xml:space="preserve"> višenamjenske zgrade, kuće </w:t>
      </w:r>
      <w:proofErr w:type="spellStart"/>
      <w:r>
        <w:t>Krulc</w:t>
      </w:r>
      <w:proofErr w:type="spellEnd"/>
      <w:r>
        <w:t xml:space="preserve"> i doma Kraj Donji na sustav odvodn</w:t>
      </w:r>
      <w:r>
        <w:t>je otpadnih 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19.309,83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21.249,86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Usluge promidžbe i informiranja općine odnose se na jumbo plakate za </w:t>
      </w:r>
      <w:proofErr w:type="spellStart"/>
      <w:r>
        <w:t>Štruklijadu</w:t>
      </w:r>
      <w:proofErr w:type="spellEnd"/>
      <w:r>
        <w:t>, lokalne mjesečne tiskovine te na elektronske medije poput Oglasnika javne nabave i TV Zapada.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9.231,45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13.259,28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Odnose ne za obradu i zbrinjavanje napuštenih pasa.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87.527,98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149.767,31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171,1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Odnose se na održavanje javnih površina i groblja, ugovore o djelu za nastup izvođača na manifestacijama, usluge odvjetnika, geodetsko katastarske usluge, najvećim dijelom za evidentiranje nerazvrstanih cesta na trasi odvodnje, naknade za rad na lokalnim i</w:t>
      </w:r>
      <w:r>
        <w:t xml:space="preserve">zborima, izradu razvojnih </w:t>
      </w:r>
      <w:proofErr w:type="spellStart"/>
      <w:r>
        <w:t>projekata,programa</w:t>
      </w:r>
      <w:proofErr w:type="spellEnd"/>
      <w:r>
        <w:t xml:space="preserve"> i prijava na javne natječaje.</w:t>
      </w:r>
    </w:p>
    <w:p w:rsidR="00821253" w:rsidRDefault="009A330D">
      <w:r>
        <w:t> 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Ostale </w:t>
            </w:r>
            <w:r>
              <w:rPr>
                <w:sz w:val="18"/>
              </w:rPr>
              <w:t>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22.310,92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22.081,76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Rashodi općine za Ostale usluge odnose se na grafičke i tiskarske usluge, film i izradu fotografija manifestacija, usluge pri registraciji službenih prijevoznih sredstava, održavanje i nadogradnju službene internet stranice općine te na naknade Poreznoj up</w:t>
      </w:r>
      <w:r>
        <w:t>ravi za poslove zaduženja i naplate općinskih poreza.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nespomenuti rashodi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75.877,28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62.837,44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82,8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Ostali nespomenuti rashodi poslovanja općine odnose se na pokroviteljstvo koncerta, održavanje općinskih manifestacija Dana općine, </w:t>
      </w:r>
      <w:proofErr w:type="spellStart"/>
      <w:r>
        <w:t>Štruklijde</w:t>
      </w:r>
      <w:proofErr w:type="spellEnd"/>
      <w:r>
        <w:t xml:space="preserve"> i Božićnog sajma, projekt Ljeto u Mariji Gorici, božićnu dekoraciju, predstavu i advent.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8.700,10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317,9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lastRenderedPageBreak/>
        <w:t xml:space="preserve">Povećanje ostalih nespomenutih financijskih rashoda općine za 215,5% odnosi se na podmirenje obveza prema državnom proračunu a na ime doprinosa za </w:t>
      </w:r>
      <w:proofErr w:type="spellStart"/>
      <w:r>
        <w:t>pok</w:t>
      </w:r>
      <w:proofErr w:type="spellEnd"/>
      <w:r>
        <w:t xml:space="preserve">. </w:t>
      </w:r>
      <w:proofErr w:type="spellStart"/>
      <w:r>
        <w:t>Jurač</w:t>
      </w:r>
      <w:proofErr w:type="spellEnd"/>
      <w:r>
        <w:t xml:space="preserve"> Franju čija je imovina kao </w:t>
      </w:r>
      <w:proofErr w:type="spellStart"/>
      <w:r>
        <w:t>ošasna</w:t>
      </w:r>
      <w:proofErr w:type="spellEnd"/>
      <w:r>
        <w:t xml:space="preserve"> pripala općini te na naknadu za uređenje voda HR vodama po osnov</w:t>
      </w:r>
      <w:r>
        <w:t>i cesta u vlasništvu općine.</w:t>
      </w:r>
    </w:p>
    <w:p w:rsidR="00821253" w:rsidRDefault="009A330D">
      <w:r>
        <w:t> 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Subvencije trgovačkim društvima i zadrugama izvan </w:t>
            </w:r>
            <w:r>
              <w:rPr>
                <w:sz w:val="18"/>
              </w:rPr>
              <w:t>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37.793,82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72,7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Subvencije dječjim vrtićima iz sredstava državnog proračuna.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15.106,56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Pomoći proračunu Općine </w:t>
      </w:r>
      <w:proofErr w:type="spellStart"/>
      <w:r>
        <w:t>Jakovlje</w:t>
      </w:r>
      <w:proofErr w:type="spellEnd"/>
      <w:r>
        <w:t xml:space="preserve"> na ime plaće i materijalnih prava zajedničkih službenika, referenta za proračun i financije i komunalnog redara.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37.882,66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33.669,22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Naknade građanima i kućanstvima u novcu odnose se na podmirenje troškova stanovanja, sufinanciranje nabave školske obuće, sufinanciranje dopunskih nastavnih sredstava učenicima OŠ Ante Kovačića, pomoći za opremu na novorođenče, prigodno darivanje srednjošk</w:t>
      </w:r>
      <w:r>
        <w:t>olaca i studenata, prigodno darivanje obitelji s troje i više djece te nagrade učenicima za učenje, vladanje i učenika generacije.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193.179,42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241.078,45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Naknade građanima i kućanstvima u naravi odnose se na sufinanciranje dječjih vrtića, financiranje produženog boravka i </w:t>
      </w:r>
      <w:proofErr w:type="spellStart"/>
      <w:r>
        <w:t>predškole</w:t>
      </w:r>
      <w:proofErr w:type="spellEnd"/>
      <w:r>
        <w:t>, škole u prirodi, sufinanciranje prijevoza učenika i studenata te starijih osoba od 65 godina, školu plivanja, ljetovanje djece</w:t>
      </w:r>
      <w:r>
        <w:t xml:space="preserve"> u kampu Selce, uskrsne poklon bonove za novorođenčad, božićne poklon pakete za djecu, mandarine za umirovljenike, prigodne pakete za starije i nemoćne osobe, setove za likovni odgoj </w:t>
      </w:r>
      <w:proofErr w:type="spellStart"/>
      <w:r>
        <w:t>prvašićima</w:t>
      </w:r>
      <w:proofErr w:type="spellEnd"/>
      <w:r>
        <w:t>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93.486,79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95.684,59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Tekuće donacije u novcu odnose se na Turističku zajednicu Doline i brigi, Crveni križ Zaprešić, Vatrogasnu zajednicu općine, HGSS, sportska natjecanja OŠ AK te na donacije udrugama temeljem provedenog javnog natječaja.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119.396,72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163.167,62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Kapitalne pomoći općine trgovačkom društvu Zaprešić </w:t>
      </w:r>
      <w:proofErr w:type="spellStart"/>
      <w:r>
        <w:t>doo</w:t>
      </w:r>
      <w:proofErr w:type="spellEnd"/>
      <w:r>
        <w:t>, na ime izgradnje vodoopskrbnog sustava na području aglomeracije Zaprešić.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82.766,95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88.904,94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Obračunati prihodi poslovanja općine odnose se na nenaplaćene prihode komunalne naknade, naknade za uređenje voda, grobne naknade, komunalnog doprinosa, prihoda od zakupa, </w:t>
      </w:r>
      <w:r>
        <w:lastRenderedPageBreak/>
        <w:t>prihoda od poreza te na kapitalne pomoći iz državnog proračuna za biciklističku staz</w:t>
      </w:r>
      <w:r>
        <w:t xml:space="preserve">u Bike </w:t>
      </w:r>
      <w:proofErr w:type="spellStart"/>
      <w:r>
        <w:t>connect</w:t>
      </w:r>
      <w:proofErr w:type="spellEnd"/>
      <w:r>
        <w:t>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213,8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Nabavljena imovina općine u vrijednosti 81.412,50 eura odnosi se na projektnu dokumentaciju SRC Kraj Donji 38.862,50 eura, projektnu dokumentaciju sanacije klizišta 27.550,00 eura, plan protupožarne zaštite 2.000,00 eura, prometne elaborate 10.000,00 eura </w:t>
      </w:r>
      <w:r>
        <w:t>te na idejno rješenje kuće Kovačić 3.000,00 eura.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Ceste, željeznice i ostali prometni </w:t>
            </w:r>
            <w:r>
              <w:rPr>
                <w:sz w:val="18"/>
              </w:rPr>
              <w:t>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121.241,23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177.670,01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146,5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Izvršena je sanacija i ojačanje kolnika nerazvrstanih cesta na području općine sukladno potrebama ali i financijskim mogućnostima.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23.304,71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83.419,65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358,0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Rashodi za ostale građevinske objekte odnose se na sanaciju klizišta, stabilnost nasipa i izgradnju novih grobnih mjesta na groblju Marija Gorica 58.353,91 </w:t>
      </w:r>
      <w:proofErr w:type="spellStart"/>
      <w:r>
        <w:t>eur</w:t>
      </w:r>
      <w:proofErr w:type="spellEnd"/>
      <w:r>
        <w:t xml:space="preserve"> i na izgradnju i opremanje dječjeg igrališta Marija </w:t>
      </w:r>
      <w:proofErr w:type="spellStart"/>
      <w:r>
        <w:t>Gorica,Oplaznik</w:t>
      </w:r>
      <w:proofErr w:type="spellEnd"/>
      <w:r>
        <w:t xml:space="preserve"> 25.065,74 eura.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38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7.838,79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26.567,76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338,9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lastRenderedPageBreak/>
        <w:t>Knjižnica je nabavila 20 stolaca za opremanje svojih prostora u vrijednosti 599,80 eura.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186,7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Nabavljena je računalna oprema za 1.104,24 eura i novi uredski stolci za 599,97 eura za općinu.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24.263,75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367,4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Nabavljena je oprema za postojeći dječji vrtić u </w:t>
      </w:r>
      <w:proofErr w:type="spellStart"/>
      <w:r>
        <w:t>Trsteniku</w:t>
      </w:r>
      <w:proofErr w:type="spellEnd"/>
      <w:r>
        <w:t xml:space="preserve"> u vrijednosti 17.801,25 eura, te uređaji ukupne vrijednosti 6.642,50 eura - fotokopirni, </w:t>
      </w:r>
      <w:proofErr w:type="spellStart"/>
      <w:r>
        <w:t>roštilji,klima</w:t>
      </w:r>
      <w:proofErr w:type="spellEnd"/>
      <w:r>
        <w:t xml:space="preserve"> uređaj, MTU prijemnik za trafostanice i aparat za kokice.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11.469,24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12.310,38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Knjižnica je nabavila novu knjižnu građu u vrijednosti 12.310,38 eura.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U tijeku su IV izmjene i dopune Prostornog plana uređenja općine Marija Gorica.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8212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</w:t>
            </w:r>
            <w:r>
              <w:rPr>
                <w:sz w:val="18"/>
              </w:rPr>
              <w:t>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412.256,36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605.076,39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146,8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Ukupan višak prihoda poslovanja općine i knjižnice uključiti će se u Plan proračuna za 2026.g, prvim izmjenama i dopuna i rasporediti sukladno njegovoj namjeni.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</w:t>
            </w:r>
            <w:r>
              <w:rPr>
                <w:b/>
                <w:sz w:val="18"/>
              </w:rPr>
              <w:t>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437.554,70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471.624,36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:rsidR="00821253" w:rsidRDefault="00821253">
      <w:pPr>
        <w:spacing w:after="0"/>
      </w:pPr>
    </w:p>
    <w:p w:rsidR="00821253" w:rsidRDefault="009A330D">
      <w:proofErr w:type="spellStart"/>
      <w:r>
        <w:t>Neproizvedena</w:t>
      </w:r>
      <w:proofErr w:type="spellEnd"/>
      <w:r>
        <w:t xml:space="preserve"> dugotrajna imovina općine na kraju izvještajnog razdoblja, nakon ispravka vrijednosti iznosi 471.624,36 eura. Nabavljena imovina u 2025. iznosi 81.482,50 eura a odnosi se na projektnu dokumentaciju za SRC Kraj Donji, projektnu dokumentaciju z</w:t>
      </w:r>
      <w:r>
        <w:t>a sanaciju klizišta, prometne elaborate, projektno rješenje za kompleks kuće knj. Kovačića, planove protupožarne zaštite i licence za antivirusne programe 70,00 eura.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9.542.179,16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9.501.929,05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Proizvedena dugotrajna imovina općine na kraju izvještajnog razdoblja, nakon ispravka vrijednosti iznosi 9.501.929,05 eura. Novonabavljena imovina općine u 2025. iznosi 294.936,24 eura, čine je ceste-ojačanje kolnika 177.670,01, izgradnja i opremanje dječj</w:t>
      </w:r>
      <w:r>
        <w:t xml:space="preserve">eg igrališta Marija Gorica, </w:t>
      </w:r>
      <w:proofErr w:type="spellStart"/>
      <w:r>
        <w:t>Oplaznik</w:t>
      </w:r>
      <w:proofErr w:type="spellEnd"/>
      <w:r>
        <w:t xml:space="preserve"> 25.065,74, sanacija </w:t>
      </w:r>
      <w:proofErr w:type="spellStart"/>
      <w:r>
        <w:t>klizišta,stabilnost</w:t>
      </w:r>
      <w:proofErr w:type="spellEnd"/>
      <w:r>
        <w:t xml:space="preserve"> nasipa i izgradnja grobnih mjesta na groblju Marija Gorica 58.353,91, računalna oprema 1.104,24, uredski namještaj 599,97, uređaji 6.462,50 (fotokopirni, klima uređaj, aparat za k</w:t>
      </w:r>
      <w:r>
        <w:t xml:space="preserve">okice, roštilj), oprema 17.801,25 (za dječji vrtić u </w:t>
      </w:r>
      <w:proofErr w:type="spellStart"/>
      <w:r>
        <w:t>Trsteniku</w:t>
      </w:r>
      <w:proofErr w:type="spellEnd"/>
      <w:r>
        <w:t xml:space="preserve">, ljuljačka s </w:t>
      </w:r>
      <w:proofErr w:type="spellStart"/>
      <w:r>
        <w:t>košarom,penjalica,tobogan,staze,police,zidne</w:t>
      </w:r>
      <w:proofErr w:type="spellEnd"/>
      <w:r>
        <w:t xml:space="preserve"> dekoracije), ulaganje u računalne programe 453,62 te izrada IV. izmjena i dopuna Prostornog plana uređenja Općine Marija Gorica 7.425,0</w:t>
      </w:r>
      <w:r>
        <w:t>0 eura.</w:t>
      </w:r>
      <w:r>
        <w:br/>
        <w:t>Novonabavljena imovine knjižnice u 2025. iznosi 12.910,18 eura, odnosi se na uredski namještaj 599,80 eura i knjižnu građu 12.310,38 eura.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 (šifre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353.772,65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353.772,65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Općina Marija Gorica suvlasnik je trgovačkog poduzeća Zaprešića d.o.o. u 3% udjelu.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23.015,83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20.553,47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Potraživanja općine odnose se na porez na potrošnju, kuće za odmor (do 31.12.2024.), porez na nekretnine, tvrtku, reklame i porez na promet nekretnina. Poslovi zaduženja i naplate odlukom Općinskog vijeća povjereni su Ministarstvu financija, Poreznoj uprav</w:t>
      </w:r>
      <w:r>
        <w:t>i.  </w:t>
      </w:r>
    </w:p>
    <w:p w:rsidR="00821253" w:rsidRDefault="009A330D">
      <w:r>
        <w:t> 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57.612,15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Potraživana EU sredstva od Ministarstva </w:t>
      </w:r>
      <w:proofErr w:type="spellStart"/>
      <w:r>
        <w:t>regioalnog</w:t>
      </w:r>
      <w:proofErr w:type="spellEnd"/>
      <w:r>
        <w:t xml:space="preserve"> razvoja i fondova EU za izgradnju biciklističke staze Bike </w:t>
      </w:r>
      <w:proofErr w:type="spellStart"/>
      <w:r>
        <w:t>connect</w:t>
      </w:r>
      <w:proofErr w:type="spellEnd"/>
      <w:r>
        <w:t>.</w:t>
      </w:r>
    </w:p>
    <w:p w:rsidR="00821253" w:rsidRDefault="009A330D">
      <w:r>
        <w:t> 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</w:t>
            </w:r>
            <w:r>
              <w:rPr>
                <w:sz w:val="18"/>
              </w:rPr>
              <w:t>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21.470,11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1367,7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lastRenderedPageBreak/>
        <w:t>Od 01.01.2026. Općina Marija Gorica ima uspostavljenu Lokalnu riznicu te su sredstva proračunskog korisnika uplaćena u nadležni proračun.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</w:t>
            </w:r>
            <w:r>
              <w:rPr>
                <w:sz w:val="18"/>
              </w:rPr>
              <w:t>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412.256,36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605.076,39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146,8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Višak prihoda na kraju izvještajnog razdoblja uključiti će se 1. izmjenama i dopuna Plana proračuna za 2026.g. sukladno namjenama.</w:t>
      </w:r>
    </w:p>
    <w:p w:rsidR="00821253" w:rsidRDefault="009A330D">
      <w:r>
        <w:t> 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53.688,41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59.581,72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Općinskim rashodima prema funkcijskoj klasifikaciji pribrojeni su rashodi proračunskog korisnika Općinske knjižnice Ante Kovačića, ukupni rashodi knjižnice iskazani su na 082 jer su svi u funkciji razvoja kulture.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</w:t>
      </w:r>
      <w:r>
        <w:rPr>
          <w:b/>
          <w:sz w:val="28"/>
        </w:rPr>
        <w:t xml:space="preserve"> obveza</w:t>
      </w:r>
    </w:p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obveza (šifre P035 do P038)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21.491,20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Izvršena je korekcija općinskih obveza sukladno knjižnim zapisima iz analitičke evidencije obveza.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8212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15.964,09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 xml:space="preserve">Dospjele obveze općine na kraju izvještajnog razdoblja iznose 15.795,59 eura, čine ih obveze za rashode poslovanja u iznosu od 2.178,09 eura (električna energija i radionica </w:t>
      </w:r>
      <w:proofErr w:type="spellStart"/>
      <w:r>
        <w:t>facepainting</w:t>
      </w:r>
      <w:proofErr w:type="spellEnd"/>
      <w:r>
        <w:t xml:space="preserve"> na </w:t>
      </w:r>
      <w:proofErr w:type="spellStart"/>
      <w:r>
        <w:t>Štruklijadi</w:t>
      </w:r>
      <w:proofErr w:type="spellEnd"/>
      <w:r>
        <w:t>) te rashodi za nabavu nefinancijske imovine u iznosu o</w:t>
      </w:r>
      <w:r>
        <w:t>d 13.617,50 eura (za sanaciju i ojačanje kolnika nerazvrstanih cesta).</w:t>
      </w:r>
    </w:p>
    <w:p w:rsidR="00821253" w:rsidRDefault="009A330D">
      <w:r>
        <w:t>Dospjele obveze knjižnice za rashode poslovanja u iznosu od 150,00 eura odnose se na održanu radionicu i 18,50 eura na nabavu knjiga.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21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12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8212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208.416,61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21253" w:rsidRDefault="009A33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21253" w:rsidRDefault="00821253">
      <w:pPr>
        <w:spacing w:after="0"/>
      </w:pPr>
    </w:p>
    <w:p w:rsidR="00821253" w:rsidRDefault="009A330D">
      <w:r>
        <w:t>Nedospjele obveze općine na kraju izvještajnog razdoblja iznose 205.532,16 eura. Odnose se na obveze za tuđe prihode 22.000,40 eura (HR vode, DVD Trstenik i Općinska knjižnica), za nabavu nefinancijske imovine (projektna dokumentacija za SRC Kraj Donji 38.</w:t>
      </w:r>
      <w:r>
        <w:t xml:space="preserve">862,50 eura i 2.priv.sit.za izgradnju i opremanje dječjeg igrališta u Mariji </w:t>
      </w:r>
      <w:proofErr w:type="spellStart"/>
      <w:r>
        <w:t>Gorici,Oplazniku</w:t>
      </w:r>
      <w:proofErr w:type="spellEnd"/>
      <w:r>
        <w:t xml:space="preserve"> 12.139,76 eura) te za rashode poslovanja u iznosu 132.529,50 eura (intelektualne usluge-geodetske 24.950,00 eura, režijske troškove - električnu energiju, plin, z</w:t>
      </w:r>
      <w:r>
        <w:t xml:space="preserve">brinjavanje otpada, smještaj djece u dječjim vrtićima, produženi boravak, kapitalne pomoći trgovačkom društvu Zaprešić </w:t>
      </w:r>
      <w:proofErr w:type="spellStart"/>
      <w:r>
        <w:t>doo</w:t>
      </w:r>
      <w:proofErr w:type="spellEnd"/>
      <w:r>
        <w:t xml:space="preserve"> za vodoopskrbu 19.080,90, radove na tekućem i investicijskom održavanju mrtvačnice, održavanje elemenata javne rasvjete, zimsku služb</w:t>
      </w:r>
      <w:r>
        <w:t>u i plaću za zaposlene.</w:t>
      </w:r>
      <w:r>
        <w:br/>
        <w:t xml:space="preserve">Nedospjele obveze knjižnice u iznosu od 2.884,45 eura odnose se na 413,07 eura za nabavu nefinancijske imovine - obveze prema Školskoj </w:t>
      </w:r>
      <w:proofErr w:type="spellStart"/>
      <w:r>
        <w:t>knizi</w:t>
      </w:r>
      <w:proofErr w:type="spellEnd"/>
      <w:r>
        <w:t xml:space="preserve"> za nabavu knjiga te obveze u iznosu od 2.471,38 eura odnose se na plaću ravnatelja, </w:t>
      </w:r>
      <w:proofErr w:type="spellStart"/>
      <w:r>
        <w:t>ugvovor</w:t>
      </w:r>
      <w:proofErr w:type="spellEnd"/>
      <w:r>
        <w:t xml:space="preserve"> o djelu za usluge čišćenja i režijske troškove.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t>Bilješka 55.</w:t>
      </w:r>
    </w:p>
    <w:p w:rsidR="00821253" w:rsidRDefault="009A330D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821253" w:rsidRDefault="009A330D">
      <w:r>
        <w:t xml:space="preserve">Ostvaren višak prihoda u tekućem razdoblju iznosi 605.076,39 eura, sastoji se od viška prihoda </w:t>
      </w:r>
      <w:r>
        <w:t xml:space="preserve">poslovanja općine u iznosu od 587.708,23 eura i viška prihoda poslovanja knjižnice u </w:t>
      </w:r>
      <w:proofErr w:type="spellStart"/>
      <w:r>
        <w:t>iznousu</w:t>
      </w:r>
      <w:proofErr w:type="spellEnd"/>
      <w:r>
        <w:t xml:space="preserve"> od 17.368,16 eura.</w:t>
      </w:r>
    </w:p>
    <w:p w:rsidR="00821253" w:rsidRDefault="00821253"/>
    <w:p w:rsidR="00821253" w:rsidRDefault="009A330D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p w:rsidR="00821253" w:rsidRDefault="009A330D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821253" w:rsidRDefault="009A330D">
      <w:r>
        <w:t>Na izvještaju razine 23 eliminirani su prijenosi proračunskom korisnik</w:t>
      </w:r>
      <w:r>
        <w:t>u Općinskoj knjižnici na računu 3672 iznos od 48.100,00 eura i na računu 3673 6.900,00 eura.</w:t>
      </w:r>
    </w:p>
    <w:p w:rsidR="00821253" w:rsidRDefault="00821253"/>
    <w:sectPr w:rsidR="0082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1253"/>
    <w:rsid w:val="00821253"/>
    <w:rsid w:val="009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5AC01-F1AF-435D-BC6F-145E31C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3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Grozdana</dc:creator>
  <cp:lastModifiedBy>Windows User</cp:lastModifiedBy>
  <cp:revision>2</cp:revision>
  <cp:lastPrinted>2026-03-02T10:51:00Z</cp:lastPrinted>
  <dcterms:created xsi:type="dcterms:W3CDTF">2026-03-02T11:14:00Z</dcterms:created>
  <dcterms:modified xsi:type="dcterms:W3CDTF">2026-03-02T11:14:00Z</dcterms:modified>
</cp:coreProperties>
</file>